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89"/>
        <w:pBdr/>
        <w:spacing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9"/>
        <w:pBdr/>
        <w:spacing w:after="240" w:before="12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 поверљивости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permStart w:edGrp="everyone" w:id="754337614"/>
      <w:r>
        <w:rPr>
          <w:rFonts w:ascii="Arial" w:hAnsi="Arial" w:cs="Arial"/>
          <w:sz w:val="20"/>
          <w:szCs w:val="20"/>
          <w:lang w:val="sr-Cyrl-RS"/>
        </w:rPr>
        <w:t xml:space="preserve">______________</w:t>
      </w:r>
      <w:permEnd w:id="754337614"/>
      <w:r>
        <w:rPr>
          <w:rFonts w:ascii="Arial" w:hAnsi="Arial" w:cs="Arial"/>
          <w:sz w:val="20"/>
          <w:szCs w:val="20"/>
          <w:lang w:val="sr-Cyrl-RS"/>
        </w:rPr>
        <w:t xml:space="preserve">, дана </w:t>
      </w:r>
      <w:permStart w:edGrp="everyone" w:id="1890061812"/>
      <w:r>
        <w:rPr>
          <w:rFonts w:ascii="Arial" w:hAnsi="Arial" w:cs="Arial"/>
          <w:sz w:val="20"/>
          <w:szCs w:val="20"/>
          <w:lang w:val="sr-Cyrl-RS"/>
        </w:rPr>
        <w:t xml:space="preserve">______________</w:t>
      </w:r>
      <w:permEnd w:id="1890061812"/>
      <w:r>
        <w:rPr>
          <w:rFonts w:ascii="Arial" w:hAnsi="Arial" w:cs="Arial"/>
          <w:sz w:val="20"/>
          <w:szCs w:val="20"/>
          <w:lang w:val="sr-Latn-RS"/>
        </w:rPr>
        <w:t xml:space="preserve"> 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bCs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„НАФТАГАС - Технички сервиси“ д.о.о. Зрењанин, ул. Београдска, бр. 26, 23000 Зрењанин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</w:t>
      </w:r>
      <w:r>
        <w:rPr>
          <w:rFonts w:ascii="Arial" w:hAnsi="Arial" w:cs="Arial"/>
          <w:sz w:val="20"/>
          <w:szCs w:val="20"/>
          <w:lang w:val="sr-Cyrl-RS"/>
        </w:rPr>
        <w:t xml:space="preserve">107435919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матични број: </w:t>
      </w:r>
      <w:r>
        <w:rPr>
          <w:rFonts w:ascii="Arial" w:hAnsi="Arial" w:cs="Arial"/>
          <w:sz w:val="20"/>
          <w:szCs w:val="20"/>
          <w:lang w:val="sr-Latn-RS"/>
        </w:rPr>
        <w:t xml:space="preserve">20801794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коje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заступа </w:t>
      </w:r>
      <w:permStart w:edGrp="everyone" w:id="1899051761"/>
      <w:r>
        <w:rPr>
          <w:rFonts w:ascii="Arial" w:hAnsi="Arial" w:eastAsia="Times New Roman" w:cs="Arial"/>
          <w:sz w:val="20"/>
          <w:szCs w:val="20"/>
          <w:lang w:val="sr-Cyrl-RS"/>
        </w:rPr>
        <w:t xml:space="preserve">${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_</w:t>
      </w:r>
      <w:permEnd w:id="1899051761"/>
      <w:r/>
      <w:r>
        <w:rPr>
          <w:rFonts w:ascii="Arial" w:hAnsi="Arial" w:cs="Arial"/>
          <w:bCs/>
          <w:sz w:val="20"/>
          <w:szCs w:val="20"/>
          <w:lang w:val="sr-Latn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edGrp="everyone" w:id="1704404446"/>
      <w:r>
        <w:rPr>
          <w:rFonts w:ascii="Arial" w:hAnsi="Arial" w:eastAsia="Times New Roman" w:cs="Arial"/>
          <w:sz w:val="20"/>
          <w:szCs w:val="20"/>
          <w:lang w:val="sr-Cyrl-RS"/>
        </w:rPr>
        <w:t xml:space="preserve">${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komitent_sve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}</w:t>
      </w:r>
      <w:permEnd w:id="1704404446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edGrp="everyone" w:id="472198307"/>
      <w:r>
        <w:rPr>
          <w:rFonts w:ascii="Arial" w:hAnsi="Arial" w:eastAsia="Times New Roman" w:cs="Arial"/>
          <w:sz w:val="20"/>
          <w:szCs w:val="20"/>
          <w:lang w:val="sr-Cyrl-RS"/>
        </w:rPr>
        <w:t xml:space="preserve">${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  <w:t xml:space="preserve">.</w:t>
      </w:r>
      <w:permEnd w:id="472198307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r>
        <w:rPr>
          <w:rFonts w:ascii="Arial" w:hAnsi="Arial" w:cs="Arial"/>
          <w:sz w:val="20"/>
          <w:szCs w:val="20"/>
          <w:lang w:val="sr-Cyrl-RS"/>
        </w:rPr>
        <w:t xml:space="preserve">даљем тексту са заједничким називом: „Стране“, појединачно: „Страна“, при чему  свака страна може бити и Давалац и Прималац података који представљају Пословну тајну и/или Поверљиве информације у смислу овог уговора о поверљивости  (у даљем тексту „Уговор“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или „Уговор о поверљивости“):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: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су сагласне да у склопу заједничких пословних активности, укључујући, али не ограничавајући се на промотивне, консултантске, пред-уговорне, уговорне и после-уговорне</w:t>
      </w:r>
      <w:r>
        <w:rPr>
          <w:rFonts w:ascii="Arial" w:hAnsi="Arial" w:cs="Arial"/>
          <w:sz w:val="20"/>
          <w:szCs w:val="20"/>
          <w:lang w:val="sr-Cyrl-RS"/>
        </w:rPr>
        <w:t xml:space="preserve"> активности  (у даљем тексту: Пословне активности),  омогуће приступ и  размену података који представљају Пословну тајну и/или Поверљиве информације, те да штите њихову поверљивост на начин и под условима утврђеним Уговором и прописима Републике Србије.  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 xml:space="preserve">својство које значи да податак није доступан неовлашћеним лицима.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-</w:t>
      </w:r>
      <w:r>
        <w:rPr>
          <w:rFonts w:ascii="Arial" w:hAnsi="Arial" w:cs="Arial"/>
          <w:sz w:val="20"/>
          <w:szCs w:val="20"/>
          <w:lang w:val="sr-Cyrl-RS"/>
        </w:rPr>
        <w:t xml:space="preserve"> јесте било која 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корист, и која </w:t>
      </w:r>
      <w:r>
        <w:rPr>
          <w:rFonts w:ascii="Arial" w:hAnsi="Arial" w:cs="Arial"/>
          <w:sz w:val="20"/>
          <w:szCs w:val="20"/>
          <w:lang w:val="sr-Cyrl-RS"/>
        </w:rPr>
        <w:t xml:space="preserve">је од стране Даваоца заштићена одговарајућим мерама у складу са законом, пословном политиком, уговорним обавезама или одговарајућим стандардима, у циљу очувања њене поверљивости, а чије би саопштавање трећем лицу могло нанети штету Даваоцу пословне тајне.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Пословном тајном, сматрају се 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1"/>
        </w:num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 надлежног Органа сматрају Пословном тајном (у овом тексту, Орган означ</w:t>
      </w:r>
      <w:r>
        <w:rPr>
          <w:rFonts w:ascii="Arial" w:hAnsi="Arial" w:cs="Arial"/>
          <w:sz w:val="20"/>
          <w:szCs w:val="20"/>
          <w:lang w:val="sr-Cyrl-RS"/>
        </w:rPr>
        <w:t xml:space="preserve">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</w:t>
      </w:r>
      <w:r>
        <w:rPr>
          <w:rFonts w:ascii="Arial" w:hAnsi="Arial" w:cs="Arial"/>
          <w:sz w:val="20"/>
          <w:szCs w:val="20"/>
          <w:lang w:val="sr-Cyrl-RS"/>
        </w:rPr>
        <w:t xml:space="preserve">е – 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информације, чије чување јесте у интересу Даваоца, тј. чије обелодањивање и/или саопштавање од </w:t>
      </w:r>
      <w:r>
        <w:rPr>
          <w:rFonts w:ascii="Arial" w:hAnsi="Arial" w:cs="Arial"/>
          <w:sz w:val="20"/>
          <w:szCs w:val="20"/>
          <w:lang w:val="sr-Cyrl-RS"/>
        </w:rPr>
        <w:t xml:space="preserve">стране лица у чијем су поседу било ком другом лицу, штети или може шкодити тј. нанети штету Даваоцу, било непосредно или посредно. У Поверљиве информације спадају и они подаци и документи које као такве изричито одреди Давалац.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>
        <w:rPr>
          <w:rFonts w:ascii="Arial" w:hAnsi="Arial" w:cs="Arial"/>
          <w:sz w:val="20"/>
          <w:szCs w:val="20"/>
          <w:lang w:val="sr-Cyrl-RS"/>
        </w:rPr>
        <w:t xml:space="preserve">–  су материјални и електронски медији, глас-говор, сигнали, физичко поље и информационе базе података у којима су садржани или преко којих се преносe подаци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</w:t>
      </w:r>
      <w:r>
        <w:rPr>
          <w:rFonts w:eastAsia="Calibri" w:cs="Arial"/>
          <w:b/>
          <w:sz w:val="20"/>
          <w:lang w:val="sr-Latn-RS"/>
        </w:rPr>
        <w:t xml:space="preserve"> </w:t>
      </w:r>
      <w:r>
        <w:rPr>
          <w:rFonts w:eastAsia="Calibri" w:cs="Arial"/>
          <w:sz w:val="20"/>
          <w:lang w:val="sr-Cyrl-RS"/>
        </w:rPr>
        <w:t xml:space="preserve"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  <w:r>
        <w:rPr>
          <w:rFonts w:eastAsia="Calibri" w:cs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закона контролише коришћење податка који представљају Пословну тајну и/или Поверљиве информације, односно страна која Примаоцу открива, односно предаје податке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који представљају Послов</w:t>
      </w:r>
      <w:r>
        <w:rPr>
          <w:rFonts w:ascii="Arial" w:hAnsi="Arial" w:cs="Arial"/>
          <w:sz w:val="20"/>
          <w:szCs w:val="20"/>
          <w:lang w:val="sr-Cyrl-RS"/>
        </w:rPr>
        <w:t xml:space="preserve">ну тајну и/или Поверљиве информације, односно Страна која од Даваоца прибавља податке који представљају Пословну тајну и/или Поверљиве информације, те прибављањем истих постаје корисник  податка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 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>
        <w:rPr>
          <w:rFonts w:ascii="Arial" w:hAnsi="Arial" w:cs="Arial"/>
          <w:sz w:val="20"/>
          <w:szCs w:val="20"/>
          <w:lang w:val="sr-Latn-RS"/>
        </w:rPr>
        <w:t xml:space="preserve">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Style w:val="986"/>
        <w:numPr>
          <w:ilvl w:val="0"/>
          <w:numId w:val="4"/>
        </w:num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</w:t>
      </w:r>
      <w:r>
        <w:rPr>
          <w:rFonts w:ascii="Arial" w:hAnsi="Arial" w:cs="Arial"/>
          <w:sz w:val="20"/>
          <w:szCs w:val="20"/>
          <w:lang w:val="sr-Cyrl-RS"/>
        </w:rPr>
        <w:t xml:space="preserve">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- запослени, радно ангажована лица, службеници и директори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 запослени, радно ангажована лица, службеници и директори Повезаног лица</w:t>
      </w:r>
      <w:r>
        <w:rPr>
          <w:rFonts w:ascii="Arial" w:hAnsi="Arial" w:cs="Arial"/>
          <w:sz w:val="20"/>
          <w:szCs w:val="20"/>
          <w:lang w:val="sr-Latn-RS"/>
        </w:rPr>
        <w:t xml:space="preserve">;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консултанти, адвокати, ревизори или агенти које је ангажовала једна од Страна и/или Повезано лице;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овлашћена лица банака или других финансијских институција.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</w:t>
      </w:r>
      <w:r>
        <w:rPr>
          <w:rFonts w:ascii="Arial" w:hAnsi="Arial" w:cs="Arial"/>
          <w:sz w:val="20"/>
          <w:szCs w:val="20"/>
          <w:lang w:val="sr-Cyrl-RS"/>
        </w:rPr>
        <w:t xml:space="preserve">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податке који представљају Пословну тајну и/или Поверљиве информације Даваоца у истој мери као и сопствене, уз предузимање разумних мера за очување њихове поверљивости.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</w:t>
      </w:r>
      <w:r>
        <w:rPr>
          <w:rFonts w:ascii="Arial" w:hAnsi="Arial" w:cs="Arial"/>
          <w:sz w:val="20"/>
          <w:szCs w:val="20"/>
          <w:lang w:val="sr-Cyrl-RS"/>
        </w:rPr>
        <w:t xml:space="preserve">зује да чува податке који представљају Пословну тајну и/или Поверљиве информације Даваоца које сазна или прими преко било ког Носача информација, да не врши продају, размену, објављивање, односно  достављање података који представљају Пословну тајну и/или </w:t>
      </w: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информације Даваоца трећим лицима на било који  начин, без претходне писане сагласности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прибављања претходне писане сагласности, ближе описана првим ставом овог члана не постоји у следећим случајевима: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податак</w:t>
      </w:r>
      <w:r>
        <w:rPr>
          <w:rFonts w:ascii="Arial" w:hAnsi="Arial" w:cs="Arial"/>
          <w:sz w:val="20"/>
          <w:szCs w:val="20"/>
          <w:lang w:val="sr-Cyrl-RS"/>
        </w:rPr>
        <w:t xml:space="preserve">а који представљају Пословну тајну и/или Поверљиве информације Даваоца надлежним органима власти или када је достављање података који представљају Пословну тајну и/или Поверљиве информације Даваоца надлежним органима власти неопходно ради испуњења законски</w:t>
      </w:r>
      <w:r>
        <w:rPr>
          <w:rFonts w:ascii="Arial" w:hAnsi="Arial" w:cs="Arial"/>
          <w:sz w:val="20"/>
          <w:szCs w:val="20"/>
          <w:lang w:val="sr-Cyrl-RS"/>
        </w:rPr>
        <w:t xml:space="preserve">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који представљају Пословну тајну и/или Поверљиве информације и/или појединачно захтевани подаци који </w:t>
      </w:r>
      <w:r>
        <w:rPr>
          <w:rFonts w:ascii="Arial" w:hAnsi="Arial" w:cs="Arial"/>
          <w:sz w:val="20"/>
          <w:szCs w:val="20"/>
          <w:lang w:val="sr-Cyrl-RS"/>
        </w:rPr>
        <w:t xml:space="preserve">представљају Пословну тајну и/или Поверљиве информације,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податке који представљају Пословну тајну и/или Поверљиве информације Даваоца овлашћеним л</w:t>
      </w:r>
      <w:r>
        <w:rPr>
          <w:rFonts w:ascii="Arial" w:hAnsi="Arial" w:cs="Arial"/>
          <w:sz w:val="20"/>
          <w:szCs w:val="20"/>
          <w:lang w:val="sr-Cyrl-RS"/>
        </w:rPr>
        <w:t xml:space="preserve">ицима, ближе дефинисаним чланом 2 овог Уговора, у оној мери у којој је то неопходно ради обављања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</w:t>
      </w:r>
      <w:r>
        <w:rPr>
          <w:rFonts w:ascii="Arial" w:hAnsi="Arial" w:cs="Arial"/>
          <w:sz w:val="20"/>
          <w:szCs w:val="20"/>
          <w:lang w:val="sr-Cyrl-RS"/>
        </w:rPr>
        <w:t xml:space="preserve"> ништа мање строги од овог Уговора или да та лица имају професионалну обавезу, односно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који представљају Пословну тајну и/или Поверљиве информације Даваоца правним </w:t>
      </w:r>
      <w:r>
        <w:rPr>
          <w:rFonts w:ascii="Arial" w:hAnsi="Arial" w:cs="Arial"/>
          <w:sz w:val="20"/>
          <w:szCs w:val="20"/>
          <w:lang w:val="sr-Cyrl-RS"/>
        </w:rPr>
        <w:t xml:space="preserve">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120" w:before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који представљају Пословну тајну и/или Поверљиве информације: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од стране Даваоца већ познати Примаоцу;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за које Прималац може да докаже да су му били познати пре потписивања овог Уговора, из извора који не припада Даваоцу;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г)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прибави на законит начин од трећих лица, која их нису добила уз обавезу чувања поверљивости,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независно развије без позивања на податке који представљају Пословну тајну и/или Поверљиве информације обелодањене у складу са овим Уговором,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7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податке који представљају Пословну тајну и/или Поверљ</w:t>
      </w:r>
      <w:r>
        <w:rPr>
          <w:rFonts w:ascii="Arial" w:hAnsi="Arial" w:cs="Arial"/>
          <w:sz w:val="20"/>
          <w:szCs w:val="20"/>
          <w:lang w:val="sr-Cyrl-RS"/>
        </w:rPr>
        <w:t xml:space="preserve">иве информације,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7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односи се на све поступке откривања података који представљају Пословну тајну и/или Поверљиве информације, укључујући и ра</w:t>
      </w:r>
      <w:r>
        <w:rPr>
          <w:rFonts w:ascii="Arial" w:hAnsi="Arial" w:cs="Arial"/>
          <w:sz w:val="20"/>
          <w:szCs w:val="20"/>
          <w:lang w:val="sr-Cyrl-RS"/>
        </w:rPr>
        <w:t xml:space="preserve">змену података који представљају Пословну тајну и/или Поверљиве информације између Страна и Повезаних лица, овлашћених лица, као и свих других лица која у складу са овим Уговором користе податке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7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од Страна је обавезна да одреди: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података који представљају Пословну тајну и/или Поверљиве информације (у даљем тексту: Задужено лице),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поштанску адресу за размену докумената у папирном облику, кад се подаци размењују у папирном облику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адресу електронске поште за размену електронских докумената, у ситуацији кад се подаци достављају посредством ИНТЕРНЕТ-а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 која шаље документ са подацима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Размена података који представљају Пословну тајну и/или Поверљиве информације не може почети пре испуњења обавеза из претходног става.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информација који носе ознаку поверљивости, Стране предају једна другој, уз пропратно писмо или према записнику о примопредаји који потписују Задужена лица Страна.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 обав</w:t>
      </w:r>
      <w:r>
        <w:rPr>
          <w:rFonts w:ascii="Arial" w:hAnsi="Arial" w:cs="Arial"/>
          <w:sz w:val="20"/>
          <w:szCs w:val="20"/>
          <w:lang w:val="sr-Cyrl-RS"/>
        </w:rPr>
        <w:t xml:space="preserve">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података који представљају Пословну тајну и/ил</w:t>
      </w:r>
      <w:r>
        <w:rPr>
          <w:rFonts w:ascii="Arial" w:hAnsi="Arial" w:cs="Arial"/>
          <w:sz w:val="20"/>
          <w:szCs w:val="20"/>
          <w:lang w:val="sr-Cyrl-RS"/>
        </w:rPr>
        <w:t xml:space="preserve">и Поверљиве информације обављена коришћењем електронске поште, Прималац је обавезан да одмах након пријема поруке са приложеним подацима који представљају Пословну тајну и/или Поверљиве информације, пошаље поруку Даваоцу са потврдом да је порука примљена.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 w:line="288" w:lineRule="auto"/>
        <w:ind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Уколико Задужено лице Даваоца не п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рими потврду о пријему поруке са приложеним подацима који представљају Пословну тајну и/или Поверљиве информације у року од два радна дана, рачунајући у овај рок и дан када је порука  послата,  обавезан је да обустави даље слање података и да заједно са Пр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имаоцем утврди разлоге кашњења потврде. Слање података који представљају Пословну тајну и/или Поверљиве информације се може наставити кад и уколико Стране заједнички утврде да поверљивост података није нарушена, као и да нису нарушене одредбе овог Уговора.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990"/>
        <w:pBdr/>
        <w:spacing w:after="80" w:afterAutospacing="0" w:beforeAutospacing="0" w:line="288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података који представљају Пословну тајну и/или Поверљиве информације између Страна врши путем: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3"/>
        </w:numPr>
        <w:pBdr/>
        <w:tabs>
          <w:tab w:val="left" w:leader="none" w:pos="360"/>
        </w:tabs>
        <w:spacing w:after="48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Давалац је обавезан да Примаоца информише о поверљивом садржају размене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3"/>
        </w:numPr>
        <w:pBdr/>
        <w:tabs>
          <w:tab w:val="left" w:leader="none" w:pos="360"/>
        </w:tabs>
        <w:spacing w:after="48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Носача информација (као што су папирни документи, дискови, УСБ медијуми, ЦД или ДВД медијуми), Давалац је обавезан да Носаче информација означи Ознакама </w:t>
      </w:r>
      <w:r>
        <w:rPr>
          <w:rFonts w:ascii="Arial" w:hAnsi="Arial" w:cs="Arial"/>
          <w:sz w:val="20"/>
          <w:szCs w:val="20"/>
          <w:lang w:val="sr-Cyrl-RS"/>
        </w:rPr>
        <w:t xml:space="preserve">поверљивости и на тај начин скрене пажњу на поверљиву природу података садржаних у или на Носачу информација. Ознаке поверљивости стављају се директно на Носач информација и/или на штампани документ који је приложен Примаоцу заједно са Носачем информација.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НАФТАГАС -  Технички сервиси д.о.о. Зрењанин Давалац који доставља податке који представљају Пос</w:t>
      </w:r>
      <w:r>
        <w:rPr>
          <w:rFonts w:ascii="Arial" w:hAnsi="Arial" w:cs="Arial"/>
          <w:sz w:val="20"/>
          <w:szCs w:val="20"/>
          <w:lang w:val="sr-Cyrl-RS"/>
        </w:rPr>
        <w:t xml:space="preserve">ловну тајну и/или Поверљиве информације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следеће две напомене: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НАФТАГАС -  Технички сервиси д.о.о. Зрењанин Давалац података који представљају Пословну тајну и/или Поверљиве информације путем Носача информација, примењује следеће Ознаке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Пословна тајна</w:t>
      </w:r>
      <w:r>
        <w:rPr>
          <w:rFonts w:cs="Arial"/>
          <w:b/>
          <w:sz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НАФТАГАС - Технички сервиси д.о.о. Зрењанин </w:t>
      </w:r>
      <w:r>
        <w:rPr>
          <w:rFonts w:cs="Arial"/>
          <w:b/>
          <w:sz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Београдска 26, 23000 Зрењанин</w:t>
      </w:r>
      <w:r>
        <w:rPr>
          <w:rFonts w:cs="Arial"/>
          <w:b/>
          <w:sz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податке </w:t>
      </w:r>
      <w:r>
        <w:rPr>
          <w:rFonts w:ascii="Arial" w:hAnsi="Arial" w:cs="Arial"/>
          <w:sz w:val="20"/>
          <w:szCs w:val="20"/>
          <w:lang w:val="sr-Cyrl-RS"/>
        </w:rPr>
        <w:t xml:space="preserve">који представљају Пословну тајну и/или Поверљиве информације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306032835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</w:t>
      </w:r>
      <w:permEnd w:id="1306032835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Давалац података који представљају Пословну тајну и/или Поверљиве информације путем Носача информација, примењују следеће Ознаке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626417253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</w:t>
      </w:r>
      <w:permEnd w:id="1626417253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Откривање података који представљају Пословну тајну и/или Поверљиве информације усменим путем, врши се уз лично присуство одговор</w:t>
      </w:r>
      <w:r>
        <w:rPr>
          <w:rFonts w:ascii="Arial" w:hAnsi="Arial" w:cs="Arial"/>
          <w:sz w:val="20"/>
          <w:szCs w:val="20"/>
          <w:lang w:val="sr-Cyrl-RS"/>
        </w:rPr>
        <w:t xml:space="preserve">них лица Страна. Страна која открива податке који представљају Пословну тајну и/или Поверљиве информације 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који представљају Пословну тајну и/или Поверљиве информације којима су стране имале приступ или су је размениле до тренутка закључења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</w:t>
      </w:r>
      <w:r>
        <w:rPr>
          <w:rFonts w:ascii="Arial" w:hAnsi="Arial" w:cs="Arial"/>
          <w:sz w:val="20"/>
          <w:szCs w:val="20"/>
          <w:lang w:val="sr-Cyrl-RS"/>
        </w:rPr>
        <w:t xml:space="preserve">дносе се и на податке који представљају Пословну тајну и/или Поверљиве информације Даваоца у смислу овог Уговора, а којима је Прималац имао приступ или је до њих дошао случајно током реализације  Пословних активности ближе описаних чланом 1. овог Уговора.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</w:t>
      </w:r>
      <w:r>
        <w:rPr>
          <w:rFonts w:ascii="Arial" w:hAnsi="Arial" w:cs="Arial"/>
          <w:sz w:val="20"/>
          <w:szCs w:val="20"/>
          <w:lang w:val="sr-Cyrl-RS"/>
        </w:rPr>
        <w:t xml:space="preserve">Прималац на основу података који представљају Пословну тајну и/или Поверљиве информације достављених од стране Даваоца, а у вези са овим уговором,  морају се сматрати Пословном тајном и/или Поверљивом информацијом Даваоца и због тога се Прималац према њима</w:t>
      </w:r>
      <w:r>
        <w:rPr>
          <w:rFonts w:ascii="Arial" w:hAnsi="Arial" w:cs="Arial"/>
          <w:sz w:val="20"/>
          <w:szCs w:val="20"/>
          <w:lang w:val="sr-Cyrl-RS"/>
        </w:rPr>
        <w:t xml:space="preserve"> мора понашати у складу са одредбама овог Уговора и законима Републике Србије. 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10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сагласно констатују да Давалац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има право да од Примаоца захтева надгледање спровођења обавеза утврђених овим Уговором.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Захтев за надгледање спровођења обав</w:t>
      </w:r>
      <w:r>
        <w:rPr>
          <w:rFonts w:ascii="Arial" w:hAnsi="Arial" w:cs="Arial"/>
          <w:sz w:val="20"/>
          <w:szCs w:val="20"/>
          <w:lang w:val="sr-Cyrl-RS"/>
        </w:rPr>
        <w:t xml:space="preserve">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Надгледање спровођења обавеза из овог Уговора вршиће се искључиво у присуству једног или више лица које овласти Прималац, током радног времена и по правилу, у пословним просторијама Примаоца.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подата</w:t>
      </w:r>
      <w:r>
        <w:rPr>
          <w:rFonts w:ascii="Arial" w:hAnsi="Arial" w:cs="Arial"/>
          <w:sz w:val="20"/>
          <w:szCs w:val="20"/>
          <w:lang w:val="sr-Cyrl-RS"/>
        </w:rPr>
        <w:t xml:space="preserve">ка који представљају Пословну тајну и/или Поверљиве информације. Давалац има право да, у било ком моменту, захтева од Примаоца повраћај оригиналних Носача информација који садрже податке који представљају Пословну тајну и/или Поверљиве информације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Прималац је дужан да врати или ун</w:t>
      </w:r>
      <w:r>
        <w:rPr>
          <w:rFonts w:ascii="Arial" w:hAnsi="Arial" w:cs="Arial"/>
          <w:sz w:val="20"/>
          <w:szCs w:val="20"/>
          <w:lang w:val="sr-Cyrl-RS"/>
        </w:rPr>
        <w:t xml:space="preserve">ишти све примљене Носаче информација који садрже податке који представљају Пословну тајну и/или Поверљиве информације, те да врати или уништи све примљене Носаче информација који садрже податке који представљају Пословну тајну и/или Поверљиве информације.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може задржати једну архивску копију, уз крајње рестриктиван приступ овлашћених лица, а ради праћења и испуњења обавеза.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</w:t>
      </w:r>
      <w:r>
        <w:rPr>
          <w:rFonts w:ascii="Arial" w:hAnsi="Arial" w:cs="Arial"/>
          <w:sz w:val="20"/>
          <w:szCs w:val="20"/>
          <w:lang w:val="sr-Cyrl-RS"/>
        </w:rPr>
        <w:t xml:space="preserve">даци који представљају Пословну тајну и/или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у току трајања обавеза из овог Уговора, дође до статусних промена код Страна, права и обавезе прелазе на одго</w:t>
      </w:r>
      <w:r>
        <w:rPr>
          <w:rFonts w:ascii="Arial" w:hAnsi="Arial" w:cs="Arial"/>
          <w:sz w:val="20"/>
          <w:szCs w:val="20"/>
          <w:lang w:val="sr-Cyrl-RS"/>
        </w:rPr>
        <w:t xml:space="preserve">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  <w:r>
        <w:rPr>
          <w:rFonts w:ascii="Arial" w:hAnsi="Arial" w:cs="Arial"/>
          <w:sz w:val="20"/>
          <w:szCs w:val="20"/>
          <w:lang w:val="sr-Latn-RS"/>
        </w:rPr>
        <w:t xml:space="preserve">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сноси одговорност за сваку и сву штету коју претрпи Давалац услед кршења одредби овог Угово</w:t>
      </w:r>
      <w:r>
        <w:rPr>
          <w:rFonts w:ascii="Arial" w:hAnsi="Arial" w:cs="Arial"/>
          <w:sz w:val="20"/>
          <w:szCs w:val="20"/>
          <w:lang w:val="sr-Cyrl-RS"/>
        </w:rPr>
        <w:t xml:space="preserve">ра о поверљивости, као и услед евентуалног откривања података који представљају Пословну тајну и/или Поверљиве информације Даваоца од стране трећег лица коме је Прималац доставио податке који представљају Пословну тајну и/или Поверљиве информације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</w:t>
      </w:r>
      <w:r>
        <w:rPr>
          <w:rFonts w:ascii="Arial" w:hAnsi="Arial" w:cs="Arial"/>
          <w:sz w:val="20"/>
          <w:szCs w:val="20"/>
          <w:lang w:val="sr-Cyrl-RS"/>
        </w:rPr>
        <w:t xml:space="preserve">анизују заједнички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стварна надлежност суда у Новом Саду.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не обавезује Стране да закључе или да наставе са било којим могућим односом или трансакцијом.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података који представљају Пословну тајну и/или Поверљиве информације Страни.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edGrp="everyone" w:id="617037181"/>
      <w:r>
        <w:rPr>
          <w:rFonts w:ascii="Arial" w:hAnsi="Arial" w:cs="Arial"/>
          <w:sz w:val="20"/>
          <w:szCs w:val="20"/>
          <w:lang w:val="sr-Cyrl-RS"/>
        </w:rPr>
        <w:t xml:space="preserve">_____</w:t>
      </w:r>
      <w:permEnd w:id="617037181"/>
      <w:r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података који представљају Пословну тајну и/или Поверљиве информације  остаје на снази 10 година од момента престанка важења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је закључен  у два (2) оригинална  примерка на српском језику од којих, по један (1) примерак  задржава свака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сагласно изјављују да су Уговор прочитале, разумеле и да уговорне одредбе у свему представљају израз њихове стварне воље.</w:t>
      </w:r>
      <w:r>
        <w:rPr>
          <w:rFonts w:ascii="Arial" w:hAnsi="Arial" w:cs="Arial"/>
          <w:sz w:val="20"/>
          <w:szCs w:val="20"/>
          <w:lang w:val="sr-Cyrl-RS"/>
        </w:rPr>
      </w:r>
    </w:p>
    <w:tbl>
      <w:tblPr>
        <w:jc w:val="center"/>
        <w:tblW w:w="11427" w:type="dxa"/>
        <w:tblBorders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>
        <w:trPr>
          <w:jc w:val="center"/>
        </w:trPr>
        <w:tc>
          <w:tcPr>
            <w:tcBorders/>
            <w:tcW w:w="397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За Комитента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keepNext w:val="true"/>
              <w:pBdr/>
              <w:spacing w:before="100"/>
              <w:ind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 xml:space="preserve">за</w:t>
            </w:r>
            <w:r>
              <w:rPr>
                <w:rFonts w:ascii="Arial" w:hAnsi="Arial" w:cs="Arial"/>
                <w:b/>
                <w:sz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„НАФТАГАС - Технички сервиси“ д.о.о. Зрењанин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417077439"/>
            <w:r/>
            <w:permStart w:colFirst="1" w:colLast="1" w:edGrp="everyone" w:id="261184534"/>
            <w:r/>
            <w:permStart w:colFirst="2" w:colLast="2" w:edGrp="everyone" w:id="814838058"/>
            <w:r/>
            <w:permStart w:colFirst="3" w:colLast="3" w:edGrp="everyone" w:id="96478168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komitent_naziv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}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  <w:p>
            <w:pPr>
              <w:keepNext w:val="true"/>
              <w:pBdr/>
              <w:spacing w:after="120" w:before="10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2037207208"/>
            <w:r/>
            <w:permStart w:colFirst="1" w:colLast="1" w:edGrp="everyone" w:id="691671658"/>
            <w:r/>
            <w:permStart w:colFirst="2" w:colLast="2" w:edGrp="everyone" w:id="2091404202"/>
            <w:r/>
            <w:permStart w:colFirst="3" w:colLast="3" w:edGrp="everyone" w:id="896533628"/>
            <w:r/>
            <w:permEnd w:id="417077439"/>
            <w:r/>
            <w:permEnd w:id="261184534"/>
            <w:r/>
            <w:permEnd w:id="814838058"/>
            <w:r/>
            <w:permEnd w:id="96478168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20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  <w:trHeight w:val="463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1227512429"/>
            <w:r/>
            <w:permStart w:colFirst="1" w:colLast="1" w:edGrp="everyone" w:id="235671245"/>
            <w:r/>
            <w:permStart w:colFirst="2" w:colLast="2" w:edGrp="everyone" w:id="996150967"/>
            <w:r/>
            <w:permStart w:colFirst="3" w:colLast="3" w:edGrp="everyone" w:id="1257638183"/>
            <w:r/>
            <w:permEnd w:id="2037207208"/>
            <w:r/>
            <w:permEnd w:id="691671658"/>
            <w:r/>
            <w:permEnd w:id="2091404202"/>
            <w:r/>
            <w:permEnd w:id="896533628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  <w:bookmarkStart w:id="0" w:name="_GoBack"/>
            <w:r/>
            <w:bookmarkEnd w:id="0"/>
            <w:r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shd w:val="clear" w:color="auto" w:fill="auto"/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vAlign w:val="bottom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711001268"/>
            <w:r/>
            <w:permStart w:colFirst="1" w:colLast="1" w:edGrp="everyone" w:id="1825708185"/>
            <w:r/>
            <w:permStart w:colFirst="2" w:colLast="2" w:edGrp="everyone" w:id="90244422"/>
            <w:r/>
            <w:permStart w:colFirst="3" w:colLast="3" w:edGrp="everyone" w:id="1848408998"/>
            <w:r/>
            <w:permEnd w:id="1227512429"/>
            <w:r/>
            <w:permEnd w:id="235671245"/>
            <w:r/>
            <w:permEnd w:id="996150967"/>
            <w:r/>
            <w:permEnd w:id="1257638183"/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potpisnik_komitent_sve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}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potpisnik_nis_sve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}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/>
            <w:permStart w:colFirst="0" w:colLast="0" w:edGrp="everyone" w:id="354905288"/>
            <w:r/>
            <w:permStart w:colFirst="1" w:colLast="1" w:edGrp="everyone" w:id="762257357"/>
            <w:r/>
            <w:permStart w:colFirst="2" w:colLast="2" w:edGrp="everyone" w:id="2050241375"/>
            <w:r/>
            <w:permStart w:colFirst="3" w:colLast="3" w:edGrp="everyone" w:id="1415609654"/>
            <w:r/>
            <w:permEnd w:id="711001268"/>
            <w:r/>
            <w:permEnd w:id="1825708185"/>
            <w:r/>
            <w:permEnd w:id="90244422"/>
            <w:r/>
            <w:permEnd w:id="1848408998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584135006"/>
            <w:r/>
            <w:permStart w:colFirst="1" w:colLast="1" w:edGrp="everyone" w:id="1844669803"/>
            <w:r/>
            <w:permStart w:colFirst="2" w:colLast="2" w:edGrp="everyone" w:id="444678235"/>
            <w:r/>
            <w:permStart w:colFirst="3" w:colLast="3" w:edGrp="everyone" w:id="1984592997"/>
            <w:r/>
            <w:permEnd w:id="354905288"/>
            <w:r/>
            <w:permEnd w:id="762257357"/>
            <w:r/>
            <w:permEnd w:id="2050241375"/>
            <w:r/>
            <w:permEnd w:id="141560965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20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permEnd w:id="584135006"/>
            <w:r/>
            <w:permEnd w:id="1844669803"/>
            <w:r/>
            <w:permEnd w:id="444678235"/>
            <w:r/>
            <w:permEnd w:id="1984592997"/>
            <w:r/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nextPage"/>
      <w:pgSz w:h="15840" w:orient="portrait" w:w="12240"/>
      <w:pgMar w:top="1440" w:right="1440" w:bottom="1276" w:left="1440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MS Mincho">
    <w:panose1 w:val="02020603050405090304"/>
  </w:font>
  <w:font w:name="Calibri">
    <w:panose1 w:val="020F0502020204030204"/>
  </w:font>
  <w:font w:name="Consultant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7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984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632678948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98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33"/>
      <w:gridCol w:w="2127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344378" cy="657225"/>
                    <wp:effectExtent l="0" t="0" r="8255" b="0"/>
                    <wp:docPr id="1" name="Picture 1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2883" cy="690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86pt;height:51.75pt;mso-wrap-distance-left:0.00pt;mso-wrap-distance-top:0.00pt;mso-wrap-distance-right:0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98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966F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629D5A3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72D810D6"/>
    <w:lvl w:ilvl="0">
      <w:isLgl w:val="false"/>
      <w:lvlJc w:val="left"/>
      <w:lvlText w:val="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3">
    <w:nsid w:val="78EC3D09"/>
    <w:lvl w:ilvl="0">
      <w:isLgl w:val="false"/>
      <w:lvlJc w:val="left"/>
      <w:lvlText w:val="-"/>
      <w:numFmt w:val="bullet"/>
      <w:pPr>
        <w:pBdr/>
        <w:spacing/>
        <w:ind w:hanging="360" w:left="1428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MvHuM+/g5QhMz/jzGstdkcSNRYzGq3X7OvIWYh+IeM+jrgBAJMCC/SbZ8Yi+KTBLWR6Wgx3bUfxP6u+MJDRMjw==" w:salt="gxQvWgK25BQG+KKFfu4z9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8" w:default="1">
    <w:name w:val="Normal"/>
    <w:qFormat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799">
    <w:name w:val="Heading 1"/>
    <w:basedOn w:val="798"/>
    <w:next w:val="798"/>
    <w:link w:val="9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00">
    <w:name w:val="Heading 2"/>
    <w:basedOn w:val="798"/>
    <w:next w:val="798"/>
    <w:link w:val="9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01">
    <w:name w:val="Heading 3"/>
    <w:basedOn w:val="798"/>
    <w:next w:val="798"/>
    <w:link w:val="9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02">
    <w:name w:val="Heading 4"/>
    <w:basedOn w:val="798"/>
    <w:next w:val="798"/>
    <w:link w:val="9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03">
    <w:name w:val="Heading 5"/>
    <w:basedOn w:val="798"/>
    <w:next w:val="798"/>
    <w:link w:val="9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04">
    <w:name w:val="Heading 6"/>
    <w:basedOn w:val="798"/>
    <w:next w:val="798"/>
    <w:link w:val="94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5">
    <w:name w:val="Heading 7"/>
    <w:basedOn w:val="798"/>
    <w:next w:val="798"/>
    <w:link w:val="94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6">
    <w:name w:val="Heading 8"/>
    <w:basedOn w:val="798"/>
    <w:next w:val="798"/>
    <w:link w:val="94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7">
    <w:name w:val="Heading 9"/>
    <w:basedOn w:val="798"/>
    <w:next w:val="798"/>
    <w:link w:val="94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8" w:default="1">
    <w:name w:val="Default Paragraph Font"/>
    <w:uiPriority w:val="1"/>
    <w:semiHidden/>
    <w:unhideWhenUsed/>
    <w:pPr>
      <w:pBdr/>
      <w:spacing/>
      <w:ind/>
    </w:pPr>
  </w:style>
  <w:style w:type="table" w:styleId="8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10" w:default="1">
    <w:name w:val="No List"/>
    <w:uiPriority w:val="99"/>
    <w:semiHidden/>
    <w:unhideWhenUsed/>
    <w:pPr>
      <w:pBdr/>
      <w:spacing/>
      <w:ind/>
    </w:pPr>
  </w:style>
  <w:style w:type="table" w:styleId="811">
    <w:name w:val="Table Grid"/>
    <w:basedOn w:val="80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Light"/>
    <w:basedOn w:val="80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1"/>
    <w:basedOn w:val="80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Plain Table 2"/>
    <w:basedOn w:val="80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Plain Table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Plain Table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Plain Table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1 Light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1 Light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1 Light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2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2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3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3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1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2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4 Accent 3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4 Accent 4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 Accent 5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Accent 6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5 Dark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5 Dark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5 Dark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5 Dark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5 Dark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6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6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6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6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7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7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7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7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1 Light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1 Light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1 Light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1 Light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2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2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2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2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3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3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3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3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4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4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4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4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5 Dark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5 Dark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5 Dark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5 Dark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6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6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6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6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7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7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7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7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1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2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ned - Accent 3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ned - Accent 4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ned - Accent 5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ned - Accent 6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1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2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 &amp; Lined - Accent 3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&amp; Lined - Accent 4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&amp; Lined - Accent 5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&amp; Lined - Accent 6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Bordered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Bordered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Bordered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7" w:customStyle="1">
    <w:name w:val="Heading 1 Char"/>
    <w:basedOn w:val="808"/>
    <w:link w:val="79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38" w:customStyle="1">
    <w:name w:val="Heading 2 Char"/>
    <w:basedOn w:val="808"/>
    <w:link w:val="80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39" w:customStyle="1">
    <w:name w:val="Heading 3 Char"/>
    <w:basedOn w:val="808"/>
    <w:link w:val="80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40" w:customStyle="1">
    <w:name w:val="Heading 4 Char"/>
    <w:basedOn w:val="808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41" w:customStyle="1">
    <w:name w:val="Heading 5 Char"/>
    <w:basedOn w:val="808"/>
    <w:link w:val="80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42" w:customStyle="1">
    <w:name w:val="Heading 6 Char"/>
    <w:basedOn w:val="808"/>
    <w:link w:val="80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43" w:customStyle="1">
    <w:name w:val="Heading 7 Char"/>
    <w:basedOn w:val="808"/>
    <w:link w:val="80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4" w:customStyle="1">
    <w:name w:val="Heading 8 Char"/>
    <w:basedOn w:val="808"/>
    <w:link w:val="8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5" w:customStyle="1">
    <w:name w:val="Heading 9 Char"/>
    <w:basedOn w:val="808"/>
    <w:link w:val="80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6">
    <w:name w:val="Title"/>
    <w:basedOn w:val="798"/>
    <w:next w:val="798"/>
    <w:link w:val="94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7" w:customStyle="1">
    <w:name w:val="Title Char"/>
    <w:basedOn w:val="808"/>
    <w:link w:val="9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8">
    <w:name w:val="Subtitle"/>
    <w:basedOn w:val="798"/>
    <w:next w:val="798"/>
    <w:link w:val="9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9" w:customStyle="1">
    <w:name w:val="Subtitle Char"/>
    <w:basedOn w:val="808"/>
    <w:link w:val="9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50">
    <w:name w:val="Quote"/>
    <w:basedOn w:val="798"/>
    <w:next w:val="798"/>
    <w:link w:val="9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51" w:customStyle="1">
    <w:name w:val="Quote Char"/>
    <w:basedOn w:val="808"/>
    <w:link w:val="9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52">
    <w:name w:val="Intense Emphasis"/>
    <w:basedOn w:val="80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53">
    <w:name w:val="Intense Quote"/>
    <w:basedOn w:val="798"/>
    <w:next w:val="798"/>
    <w:link w:val="954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54" w:customStyle="1">
    <w:name w:val="Intense Quote Char"/>
    <w:basedOn w:val="808"/>
    <w:link w:val="953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55">
    <w:name w:val="Intense Reference"/>
    <w:basedOn w:val="80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956">
    <w:name w:val="Subtle Emphasis"/>
    <w:basedOn w:val="8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7">
    <w:name w:val="Emphasis"/>
    <w:basedOn w:val="808"/>
    <w:uiPriority w:val="20"/>
    <w:qFormat/>
    <w:pPr>
      <w:pBdr/>
      <w:spacing/>
      <w:ind/>
    </w:pPr>
    <w:rPr>
      <w:i/>
      <w:iCs/>
    </w:rPr>
  </w:style>
  <w:style w:type="character" w:styleId="958">
    <w:name w:val="Strong"/>
    <w:basedOn w:val="808"/>
    <w:uiPriority w:val="22"/>
    <w:qFormat/>
    <w:pPr>
      <w:pBdr/>
      <w:spacing/>
      <w:ind/>
    </w:pPr>
    <w:rPr>
      <w:b/>
      <w:bCs/>
    </w:rPr>
  </w:style>
  <w:style w:type="character" w:styleId="959">
    <w:name w:val="Subtle Reference"/>
    <w:basedOn w:val="8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60">
    <w:name w:val="Book Title"/>
    <w:basedOn w:val="80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61">
    <w:name w:val="Caption"/>
    <w:basedOn w:val="798"/>
    <w:next w:val="79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962">
    <w:name w:val="footnote text"/>
    <w:basedOn w:val="798"/>
    <w:link w:val="963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63" w:customStyle="1">
    <w:name w:val="Footnote Text Char"/>
    <w:basedOn w:val="808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footnote reference"/>
    <w:basedOn w:val="808"/>
    <w:uiPriority w:val="99"/>
    <w:semiHidden/>
    <w:unhideWhenUsed/>
    <w:pPr>
      <w:pBdr/>
      <w:spacing/>
      <w:ind/>
    </w:pPr>
    <w:rPr>
      <w:vertAlign w:val="superscript"/>
    </w:rPr>
  </w:style>
  <w:style w:type="paragraph" w:styleId="965">
    <w:name w:val="endnote text"/>
    <w:basedOn w:val="798"/>
    <w:link w:val="966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66" w:customStyle="1">
    <w:name w:val="Endnote Text Char"/>
    <w:basedOn w:val="808"/>
    <w:link w:val="965"/>
    <w:uiPriority w:val="99"/>
    <w:semiHidden/>
    <w:pPr>
      <w:pBdr/>
      <w:spacing/>
      <w:ind/>
    </w:pPr>
    <w:rPr>
      <w:sz w:val="20"/>
      <w:szCs w:val="20"/>
    </w:rPr>
  </w:style>
  <w:style w:type="character" w:styleId="967">
    <w:name w:val="endnote reference"/>
    <w:basedOn w:val="808"/>
    <w:uiPriority w:val="99"/>
    <w:semiHidden/>
    <w:unhideWhenUsed/>
    <w:pPr>
      <w:pBdr/>
      <w:spacing/>
      <w:ind/>
    </w:pPr>
    <w:rPr>
      <w:vertAlign w:val="superscript"/>
    </w:rPr>
  </w:style>
  <w:style w:type="character" w:styleId="968">
    <w:name w:val="Hyperlink"/>
    <w:basedOn w:val="80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69">
    <w:name w:val="FollowedHyperlink"/>
    <w:basedOn w:val="80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70">
    <w:name w:val="toc 1"/>
    <w:basedOn w:val="798"/>
    <w:next w:val="798"/>
    <w:uiPriority w:val="39"/>
    <w:unhideWhenUsed/>
    <w:pPr>
      <w:pBdr/>
      <w:spacing w:after="100"/>
      <w:ind/>
    </w:pPr>
  </w:style>
  <w:style w:type="paragraph" w:styleId="971">
    <w:name w:val="toc 2"/>
    <w:basedOn w:val="798"/>
    <w:next w:val="798"/>
    <w:uiPriority w:val="39"/>
    <w:unhideWhenUsed/>
    <w:pPr>
      <w:pBdr/>
      <w:spacing w:after="100"/>
      <w:ind w:left="220"/>
    </w:pPr>
  </w:style>
  <w:style w:type="paragraph" w:styleId="972">
    <w:name w:val="toc 3"/>
    <w:basedOn w:val="798"/>
    <w:next w:val="798"/>
    <w:uiPriority w:val="39"/>
    <w:unhideWhenUsed/>
    <w:pPr>
      <w:pBdr/>
      <w:spacing w:after="100"/>
      <w:ind w:left="440"/>
    </w:pPr>
  </w:style>
  <w:style w:type="paragraph" w:styleId="973">
    <w:name w:val="toc 4"/>
    <w:basedOn w:val="798"/>
    <w:next w:val="798"/>
    <w:uiPriority w:val="39"/>
    <w:unhideWhenUsed/>
    <w:pPr>
      <w:pBdr/>
      <w:spacing w:after="100"/>
      <w:ind w:left="660"/>
    </w:pPr>
  </w:style>
  <w:style w:type="paragraph" w:styleId="974">
    <w:name w:val="toc 5"/>
    <w:basedOn w:val="798"/>
    <w:next w:val="798"/>
    <w:uiPriority w:val="39"/>
    <w:unhideWhenUsed/>
    <w:pPr>
      <w:pBdr/>
      <w:spacing w:after="100"/>
      <w:ind w:left="880"/>
    </w:pPr>
  </w:style>
  <w:style w:type="paragraph" w:styleId="975">
    <w:name w:val="toc 6"/>
    <w:basedOn w:val="798"/>
    <w:next w:val="798"/>
    <w:uiPriority w:val="39"/>
    <w:unhideWhenUsed/>
    <w:pPr>
      <w:pBdr/>
      <w:spacing w:after="100"/>
      <w:ind w:left="1100"/>
    </w:pPr>
  </w:style>
  <w:style w:type="paragraph" w:styleId="976">
    <w:name w:val="toc 7"/>
    <w:basedOn w:val="798"/>
    <w:next w:val="798"/>
    <w:uiPriority w:val="39"/>
    <w:unhideWhenUsed/>
    <w:pPr>
      <w:pBdr/>
      <w:spacing w:after="100"/>
      <w:ind w:left="1320"/>
    </w:pPr>
  </w:style>
  <w:style w:type="paragraph" w:styleId="977">
    <w:name w:val="toc 8"/>
    <w:basedOn w:val="798"/>
    <w:next w:val="798"/>
    <w:uiPriority w:val="39"/>
    <w:unhideWhenUsed/>
    <w:pPr>
      <w:pBdr/>
      <w:spacing w:after="100"/>
      <w:ind w:left="1540"/>
    </w:pPr>
  </w:style>
  <w:style w:type="paragraph" w:styleId="978">
    <w:name w:val="toc 9"/>
    <w:basedOn w:val="798"/>
    <w:next w:val="798"/>
    <w:uiPriority w:val="39"/>
    <w:unhideWhenUsed/>
    <w:pPr>
      <w:pBdr/>
      <w:spacing w:after="100"/>
      <w:ind w:left="1760"/>
    </w:pPr>
  </w:style>
  <w:style w:type="character" w:styleId="979">
    <w:name w:val="Placeholder Text"/>
    <w:basedOn w:val="808"/>
    <w:uiPriority w:val="99"/>
    <w:semiHidden/>
    <w:pPr>
      <w:pBdr/>
      <w:spacing/>
      <w:ind/>
    </w:pPr>
    <w:rPr>
      <w:color w:val="666666"/>
    </w:rPr>
  </w:style>
  <w:style w:type="paragraph" w:styleId="980">
    <w:name w:val="TOC Heading"/>
    <w:uiPriority w:val="39"/>
    <w:unhideWhenUsed/>
    <w:pPr>
      <w:pBdr/>
      <w:spacing/>
      <w:ind/>
    </w:pPr>
  </w:style>
  <w:style w:type="paragraph" w:styleId="981">
    <w:name w:val="table of figures"/>
    <w:basedOn w:val="798"/>
    <w:next w:val="798"/>
    <w:uiPriority w:val="99"/>
    <w:unhideWhenUsed/>
    <w:pPr>
      <w:pBdr/>
      <w:spacing/>
      <w:ind/>
    </w:pPr>
  </w:style>
  <w:style w:type="paragraph" w:styleId="982">
    <w:name w:val="Header"/>
    <w:basedOn w:val="798"/>
    <w:link w:val="983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983" w:customStyle="1">
    <w:name w:val="Header Char"/>
    <w:basedOn w:val="808"/>
    <w:link w:val="982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984">
    <w:name w:val="Footer"/>
    <w:basedOn w:val="798"/>
    <w:link w:val="985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985" w:customStyle="1">
    <w:name w:val="Footer Char"/>
    <w:basedOn w:val="808"/>
    <w:link w:val="984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986">
    <w:name w:val="List Paragraph"/>
    <w:basedOn w:val="798"/>
    <w:uiPriority w:val="34"/>
    <w:qFormat/>
    <w:pPr>
      <w:pBdr/>
      <w:spacing/>
      <w:ind w:left="720"/>
      <w:contextualSpacing w:val="true"/>
    </w:pPr>
  </w:style>
  <w:style w:type="paragraph" w:styleId="987">
    <w:name w:val="No Spacing"/>
    <w:basedOn w:val="798"/>
    <w:link w:val="988"/>
    <w:uiPriority w:val="1"/>
    <w:qFormat/>
    <w:pPr>
      <w:pBdr/>
      <w:spacing/>
      <w:ind/>
    </w:pPr>
  </w:style>
  <w:style w:type="character" w:styleId="988" w:customStyle="1">
    <w:name w:val="No Spacing Char"/>
    <w:basedOn w:val="808"/>
    <w:link w:val="987"/>
    <w:uiPriority w:val="1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989" w:customStyle="1">
    <w:name w:val="Heading"/>
    <w:pPr>
      <w:pBdr/>
      <w:spacing w:after="0" w:line="240" w:lineRule="auto"/>
      <w:ind/>
    </w:pPr>
    <w:rPr>
      <w:rFonts w:ascii="Consultant" w:hAnsi="Consultant" w:eastAsia="Calibri" w:cs="Consultant"/>
      <w:b/>
      <w:bCs/>
      <w:lang w:val="ru-RU" w:eastAsia="ru-RU"/>
    </w:rPr>
  </w:style>
  <w:style w:type="paragraph" w:styleId="990" w:customStyle="1">
    <w:name w:val="normal1"/>
    <w:basedOn w:val="798"/>
    <w:pPr>
      <w:pBdr/>
      <w:spacing w:after="100" w:afterAutospacing="1" w:before="100" w:beforeAutospacing="1"/>
      <w:ind/>
    </w:pPr>
    <w:rPr>
      <w:rFonts w:eastAsia="MS Mincho"/>
      <w:lang w:val="en-US" w:eastAsia="ja-JP"/>
    </w:rPr>
  </w:style>
  <w:style w:type="paragraph" w:styleId="991" w:customStyle="1">
    <w:name w:val="Normal1"/>
    <w:pPr>
      <w:widowControl w:val="false"/>
      <w:pBdr/>
      <w:spacing w:after="0" w:line="260" w:lineRule="auto"/>
      <w:ind w:firstLine="500"/>
    </w:pPr>
    <w:rPr>
      <w:rFonts w:ascii="Arial" w:hAnsi="Arial" w:eastAsia="Times New Roman" w:cs="Times New Roman"/>
      <w:szCs w:val="20"/>
      <w:lang w:val="ru-RU" w:eastAsia="ru-RU"/>
    </w:rPr>
  </w:style>
  <w:style w:type="paragraph" w:styleId="992">
    <w:name w:val="Body Text"/>
    <w:basedOn w:val="798"/>
    <w:link w:val="993"/>
    <w:pPr>
      <w:pBdr/>
      <w:spacing/>
      <w:ind/>
      <w:jc w:val="both"/>
    </w:pPr>
    <w:rPr>
      <w:rFonts w:eastAsia="Times New Roman"/>
      <w:sz w:val="22"/>
      <w:szCs w:val="20"/>
    </w:rPr>
  </w:style>
  <w:style w:type="character" w:styleId="993" w:customStyle="1">
    <w:name w:val="Body Text Char"/>
    <w:basedOn w:val="808"/>
    <w:link w:val="992"/>
    <w:pPr>
      <w:pBdr/>
      <w:spacing/>
      <w:ind/>
    </w:pPr>
    <w:rPr>
      <w:rFonts w:ascii="Times New Roman" w:hAnsi="Times New Roman" w:eastAsia="Times New Roman" w:cs="Times New Roman"/>
      <w:szCs w:val="20"/>
      <w:lang w:val="ru-RU" w:eastAsia="ru-RU"/>
    </w:rPr>
  </w:style>
  <w:style w:type="character" w:styleId="994">
    <w:name w:val="annotation reference"/>
    <w:basedOn w:val="80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95">
    <w:name w:val="annotation text"/>
    <w:basedOn w:val="798"/>
    <w:link w:val="996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96" w:customStyle="1">
    <w:name w:val="Comment Text Char"/>
    <w:basedOn w:val="808"/>
    <w:link w:val="995"/>
    <w:uiPriority w:val="99"/>
    <w:semiHidden/>
    <w:pPr>
      <w:pBdr/>
      <w:spacing/>
      <w:ind/>
    </w:pPr>
    <w:rPr>
      <w:rFonts w:ascii="Times New Roman" w:hAnsi="Times New Roman" w:eastAsia="Calibri" w:cs="Times New Roman"/>
      <w:sz w:val="20"/>
      <w:szCs w:val="20"/>
      <w:lang w:val="ru-RU" w:eastAsia="ru-RU"/>
    </w:rPr>
  </w:style>
  <w:style w:type="paragraph" w:styleId="997">
    <w:name w:val="annotation subject"/>
    <w:basedOn w:val="995"/>
    <w:next w:val="995"/>
    <w:link w:val="998"/>
    <w:uiPriority w:val="99"/>
    <w:semiHidden/>
    <w:unhideWhenUsed/>
    <w:pPr>
      <w:pBdr/>
      <w:spacing/>
      <w:ind/>
    </w:pPr>
    <w:rPr>
      <w:b/>
      <w:bCs/>
    </w:rPr>
  </w:style>
  <w:style w:type="character" w:styleId="998" w:customStyle="1">
    <w:name w:val="Comment Subject Char"/>
    <w:basedOn w:val="996"/>
    <w:link w:val="997"/>
    <w:uiPriority w:val="99"/>
    <w:semiHidden/>
    <w:pPr>
      <w:pBdr/>
      <w:spacing/>
      <w:ind/>
    </w:pPr>
    <w:rPr>
      <w:rFonts w:ascii="Times New Roman" w:hAnsi="Times New Roman" w:eastAsia="Calibri" w:cs="Times New Roman"/>
      <w:b/>
      <w:bCs/>
      <w:sz w:val="20"/>
      <w:szCs w:val="20"/>
      <w:lang w:val="ru-RU" w:eastAsia="ru-RU"/>
    </w:rPr>
  </w:style>
  <w:style w:type="paragraph" w:styleId="999">
    <w:name w:val="Balloon Text"/>
    <w:basedOn w:val="798"/>
    <w:link w:val="100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00" w:customStyle="1">
    <w:name w:val="Balloon Text Char"/>
    <w:basedOn w:val="808"/>
    <w:link w:val="999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интерну употребу/Restricted</cp:keywords>
  <dc:description/>
  <cp:lastModifiedBy>G1 Dejan Šarić</cp:lastModifiedBy>
  <cp:revision>6</cp:revision>
  <dcterms:created xsi:type="dcterms:W3CDTF">2026-02-02T12:22:00Z</dcterms:created>
  <dcterms:modified xsi:type="dcterms:W3CDTF">2026-05-12T12:07:04Z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78922df6-7389-4610-9829-536a8308d157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